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0" w:before="0"/>
      </w:pPr>
    </w:p>
    <w:p>
      <w:pPr>
        <w:jc w:val="center"/>
      </w:pPr>
      <w:r>
        <w:rPr>
          <w:rFonts w:ascii="Arial" w:cs="Arial" w:eastAsia="Arial" w:hAnsi="Arial"/>
          <w:b/>
          <w:bCs/>
          <w:color w:val="0B2238"/>
          <w:sz w:val="128"/>
          <w:szCs w:val="128"/>
        </w:rPr>
        <w:t xml:space="preserve">BHD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D4921A"/>
          <w:sz w:val="128"/>
          <w:szCs w:val="128"/>
        </w:rPr>
        <w:t xml:space="preserve">ASIA</w:t>
      </w:r>
    </w:p>
    <w:p>
      <w:pPr>
        <w:pBdr>
          <w:top w:val="single" w:color="D4921A" w:sz="8" w:space="8"/>
          <w:bottom w:val="single" w:color="D4921A" w:sz="8" w:space="8"/>
        </w:pBdr>
        <w:spacing w:after="80" w:before="80"/>
        <w:jc w:val="center"/>
      </w:pPr>
      <w:r>
        <w:rPr>
          <w:rFonts w:ascii="Arial" w:cs="Arial" w:eastAsia="Arial" w:hAnsi="Arial"/>
          <w:color w:val="4A5568"/>
          <w:sz w:val="52"/>
          <w:szCs w:val="52"/>
        </w:rPr>
        <w:t xml:space="preserve">Brand Guidelines</w:t>
      </w:r>
    </w:p>
    <w:p>
      <w:pPr>
        <w:spacing w:after="240" w:before="0"/>
      </w:pPr>
    </w:p>
    <w:p>
      <w:pPr>
        <w:jc w:val="center"/>
      </w:pPr>
      <w:r>
        <w:rPr>
          <w:rFonts w:ascii="Arial" w:cs="Arial" w:eastAsia="Arial" w:hAnsi="Arial"/>
          <w:i/>
          <w:iCs/>
          <w:color w:val="6D7E96"/>
          <w:sz w:val="26"/>
          <w:szCs w:val="26"/>
        </w:rPr>
        <w:t xml:space="preserve">Highlight, Enhance and Appreciate Human in Business</w:t>
      </w:r>
    </w:p>
    <w:p>
      <w:pPr>
        <w:spacing w:after="4800" w:before="0"/>
      </w:pPr>
    </w:p>
    <w:p>
      <w:pPr>
        <w:spacing w:after="60"/>
        <w:jc w:val="center"/>
      </w:pPr>
      <w:r>
        <w:rPr>
          <w:rFonts w:ascii="Arial" w:cs="Arial" w:eastAsia="Arial" w:hAnsi="Arial"/>
          <w:color w:val="6D7E96"/>
          <w:sz w:val="20"/>
          <w:szCs w:val="20"/>
        </w:rPr>
        <w:t xml:space="preserve">Business &amp; Human Development Consulting Pte Ltd</w:t>
      </w:r>
    </w:p>
    <w:p>
      <w:pPr>
        <w:jc w:val="center"/>
      </w:pPr>
      <w:r>
        <w:rPr>
          <w:rFonts w:ascii="Arial" w:cs="Arial" w:eastAsia="Arial" w:hAnsi="Arial"/>
          <w:color w:val="6D7E96"/>
          <w:sz w:val="20"/>
          <w:szCs w:val="20"/>
        </w:rPr>
        <w:t xml:space="preserve">Version 1.0  ·  June 2026  ·  bhdasia.com</w:t>
      </w:r>
    </w:p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1C2B3A"/>
          <w:sz w:val="40"/>
          <w:szCs w:val="40"/>
        </w:rPr>
        <w:t xml:space="preserve">Brand Overview</w:t>
      </w:r>
    </w:p>
    <w:p>
      <w:pPr>
        <w:pBdr>
          <w:bottom w:val="single" w:color="D4921A" w:sz="10" w:space="4"/>
        </w:pBdr>
        <w:spacing w:after="280" w:before="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08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Legal Name</w:t>
            </w:r>
          </w:p>
        </w:tc>
        <w:tc>
          <w:tcPr>
            <w:tcW w:type="dxa" w:w="70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i w:val="false"/>
                <w:iCs w:val="false"/>
                <w:color w:val="4A5568"/>
                <w:sz w:val="20"/>
                <w:szCs w:val="20"/>
              </w:rPr>
              <w:t xml:space="preserve">Business &amp; Human Development Consulting Pte Ltd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Brand Name</w:t>
            </w:r>
          </w:p>
        </w:tc>
        <w:tc>
          <w:tcPr>
            <w:tcW w:type="dxa" w:w="70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i w:val="false"/>
                <w:iCs w:val="false"/>
                <w:color w:val="4A5568"/>
                <w:sz w:val="20"/>
                <w:szCs w:val="20"/>
              </w:rPr>
              <w:t xml:space="preserve">BHD Asia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Tagline</w:t>
            </w:r>
          </w:p>
        </w:tc>
        <w:tc>
          <w:tcPr>
            <w:tcW w:type="dxa" w:w="70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i/>
                <w:iCs/>
                <w:color w:val="4A5568"/>
                <w:sz w:val="20"/>
                <w:szCs w:val="20"/>
              </w:rPr>
              <w:t xml:space="preserve">Highlight, Enhance and Appreciate Human in Business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Core Promise</w:t>
            </w:r>
          </w:p>
        </w:tc>
        <w:tc>
          <w:tcPr>
            <w:tcW w:type="dxa" w:w="70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i/>
                <w:iCs/>
                <w:color w:val="4A5568"/>
                <w:sz w:val="20"/>
                <w:szCs w:val="20"/>
              </w:rPr>
              <w:t xml:space="preserve">Bringing Out the Best in Each of Us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Region</w:t>
            </w:r>
          </w:p>
        </w:tc>
        <w:tc>
          <w:tcPr>
            <w:tcW w:type="dxa" w:w="70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i w:val="false"/>
                <w:iCs w:val="false"/>
                <w:color w:val="4A5568"/>
                <w:sz w:val="20"/>
                <w:szCs w:val="20"/>
              </w:rPr>
              <w:t xml:space="preserve">Asia Pacific — headquartered in Singapore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Website</w:t>
            </w:r>
          </w:p>
        </w:tc>
        <w:tc>
          <w:tcPr>
            <w:tcW w:type="dxa" w:w="70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i w:val="false"/>
                <w:iCs w:val="false"/>
                <w:color w:val="4A5568"/>
                <w:sz w:val="20"/>
                <w:szCs w:val="20"/>
              </w:rPr>
              <w:t xml:space="preserve">bhdasia.com</w:t>
            </w:r>
          </w:p>
        </w:tc>
      </w:tr>
    </w:tbl>
    <w:p>
      <w:pPr>
        <w:spacing w:after="32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Mission &amp; Vision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60"/>
        <w:gridCol w:w="5120"/>
      </w:tblGrid>
      <w:tr>
        <w:tc>
          <w:tcPr>
            <w:tcW w:type="dxa" w:w="4960"/>
            <w:tcBorders>
              <w:top w:val="none" w:color="FFFFFF" w:sz="0"/>
              <w:left w:val="single" w:color="D4921A" w:sz="14"/>
              <w:bottom w:val="none" w:color="FFFFFF" w:sz="0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D4921A"/>
                <w:sz w:val="19"/>
                <w:szCs w:val="19"/>
              </w:rPr>
              <w:t xml:space="preserve">Mission</w:t>
            </w:r>
          </w:p>
          <w:p>
            <w:r>
              <w:rPr>
                <w:rFonts w:ascii="Arial" w:cs="Arial" w:eastAsia="Arial" w:hAnsi="Arial"/>
                <w:color w:val="4A5568"/>
                <w:sz w:val="21"/>
                <w:szCs w:val="21"/>
              </w:rPr>
              <w:t xml:space="preserve">To help organisations and individuals unlock their human potential through evidence-based coaching, leadership development and resilience training.</w:t>
            </w:r>
          </w:p>
        </w:tc>
        <w:tc>
          <w:tcPr>
            <w:tcW w:type="dxa" w:w="5120"/>
            <w:tcBorders>
              <w:top w:val="none" w:color="FFFFFF" w:sz="0"/>
              <w:left w:val="single" w:color="E8B830" w:sz="14"/>
              <w:bottom w:val="none" w:color="FFFFFF" w:sz="0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E8B830"/>
                <w:sz w:val="19"/>
                <w:szCs w:val="19"/>
              </w:rPr>
              <w:t xml:space="preserve">Vision</w:t>
            </w:r>
          </w:p>
          <w:p>
            <w:r>
              <w:rPr>
                <w:rFonts w:ascii="Arial" w:cs="Arial" w:eastAsia="Arial" w:hAnsi="Arial"/>
                <w:color w:val="4A5568"/>
                <w:sz w:val="21"/>
                <w:szCs w:val="21"/>
              </w:rPr>
              <w:t xml:space="preserve">A world where every person in every organisation feels seen, valued and empowered to bring their full humanity to their work.</w:t>
            </w:r>
          </w:p>
        </w:tc>
      </w:tr>
    </w:tbl>
    <w:p>
      <w:pP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Brand Values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1"/>
                <w:szCs w:val="21"/>
              </w:rPr>
              <w:t xml:space="preserve">Human-Centred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1"/>
                <w:szCs w:val="21"/>
              </w:rPr>
              <w:t xml:space="preserve">Evidence-Based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1"/>
                <w:szCs w:val="21"/>
              </w:rPr>
              <w:t xml:space="preserve">Inclusive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1"/>
                <w:szCs w:val="21"/>
              </w:rPr>
              <w:t xml:space="preserve">Transformative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1"/>
                <w:szCs w:val="21"/>
              </w:rPr>
              <w:t xml:space="preserve">Warmth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People first — not resources.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Grounded in neuroscience &amp; somatic science.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All cultures, levels, styles.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Measurable, lasting change.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Authentic care in every interaction.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C2B3A"/>
          <w:sz w:val="40"/>
          <w:szCs w:val="40"/>
        </w:rPr>
        <w:t xml:space="preserve">Color Palette</w:t>
      </w:r>
    </w:p>
    <w:p>
      <w:pPr>
        <w:pBdr>
          <w:bottom w:val="single" w:color="D4921A" w:sz="10" w:space="4"/>
        </w:pBd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Primary Colors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0"/>
        <w:gridCol w:w="2560"/>
        <w:gridCol w:w="6480"/>
      </w:tblGrid>
      <w:tr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60"/>
              <w:left w:type="dxa" w:w="12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Swatch</w:t>
            </w: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60"/>
              <w:left w:type="dxa" w:w="20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Name &amp; Hex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60"/>
              <w:left w:type="dxa" w:w="20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Usage</w:t>
            </w:r>
          </w:p>
        </w:tc>
      </w:tr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4921A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Amber Gold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#D4921A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212, 146,  26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Primary brand — buttons, active links, headings, icon fills, hover accents</w:t>
            </w:r>
          </w:p>
        </w:tc>
      </w:tr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B830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Bright Gold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#E8B830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232, 184,  48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Secondary accent — event badges, countdown timers, highlight borders</w:t>
            </w:r>
          </w:p>
        </w:tc>
      </w:tr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2238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Navy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#0B2238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 11,  34,  56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Dark surfaces — hero backgrounds, footer bands, overlay gradients</w:t>
            </w:r>
          </w:p>
        </w:tc>
      </w:tr>
    </w:tbl>
    <w:p>
      <w:pPr>
        <w:spacing w:after="24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Neutral &amp; Text Colors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0"/>
        <w:gridCol w:w="2560"/>
        <w:gridCol w:w="6480"/>
      </w:tblGrid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Off-White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#FAF7F4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250, 247, 244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Warm section backgrounds, alternating card rows, footer background</w:t>
            </w:r>
          </w:p>
        </w:tc>
      </w:tr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B3A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Dark Text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#1C2B3A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 28,  43,  58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Page headings, card titles, strong emphasis — never use pure black</w:t>
            </w:r>
          </w:p>
        </w:tc>
      </w:tr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A5568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Body Text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#4A5568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 74,  85, 104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Paragraphs, card body copy, general readable text</w:t>
            </w:r>
          </w:p>
        </w:tc>
      </w:tr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D7E96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Muted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#6D7E96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109, 126, 150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Labels, captions, metadata, section eyebrows</w:t>
            </w:r>
          </w:p>
        </w:tc>
      </w:tr>
      <w:tr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DDD5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5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C2B3A"/>
                <w:sz w:val="22"/>
                <w:szCs w:val="22"/>
              </w:rPr>
              <w:t xml:space="preserve">Warm Border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color w:val="4A5568"/>
                <w:sz w:val="19"/>
                <w:szCs w:val="19"/>
              </w:rPr>
              <w:t xml:space="preserve">#E5DDD5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RGB 229, 221, 213</w:t>
            </w:r>
          </w:p>
        </w:tc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200"/>
              <w:bottom w:type="dxa" w:w="12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Dividers, card borders, input borders — warm cream tone, not cool grey</w:t>
            </w:r>
          </w:p>
        </w:tc>
      </w:tr>
    </w:tbl>
    <w:p>
      <w:pPr>
        <w:spacing w:after="240" w:before="0"/>
      </w:pPr>
    </w:p>
    <w:p>
      <w:pPr>
        <w:pStyle w:val="Heading3"/>
      </w:pPr>
      <w:r>
        <w:rPr>
          <w:rFonts w:ascii="Arial" w:cs="Arial" w:eastAsia="Arial" w:hAnsi="Arial"/>
          <w:b/>
          <w:bCs/>
          <w:color w:val="1C2B3A"/>
          <w:sz w:val="22"/>
          <w:szCs w:val="22"/>
        </w:rPr>
        <w:t xml:space="preserve">Accessibility &amp; Contrast Notes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Amber Gold (#D4921A) on white passes AA at large text sizes (18px+) at 3.05:1 — use for headings only, never small body copy.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Navy (#0B2238) on white passes AAA at 13.7:1 — safe for all text sizes.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White on Navy passes AAA at 13.7:1 — safe for all reversed text.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Body Text (#4A5568) on Off-White (#FAF7F4) passes AA at 4.6:1 — approved for body copy.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The warm border (#E5DDD5) is intentional — never substitute a cool grey. It preserves the cream-tone brand feel.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C2B3A"/>
          <w:sz w:val="40"/>
          <w:szCs w:val="40"/>
        </w:rPr>
        <w:t xml:space="preserve">Typography</w:t>
      </w:r>
    </w:p>
    <w:p>
      <w:pPr>
        <w:pBdr>
          <w:bottom w:val="single" w:color="D4921A" w:sz="10" w:space="4"/>
        </w:pBd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Typefaces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80"/>
      </w:tblGrid>
      <w:tr>
        <w:tc>
          <w:tcPr>
            <w:tcW w:type="dxa" w:w="5000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240"/>
              <w:left w:type="dxa" w:w="240"/>
              <w:bottom w:type="dxa" w:w="240"/>
              <w:right w:type="dxa" w:w="200"/>
            </w:tcMar>
            <w:vAlign w:val="top"/>
          </w:tcPr>
          <w:p>
            <w:pPr>
              <w:spacing w:after="80"/>
            </w:pPr>
            <w:r>
              <w:rPr>
                <w:rFonts w:ascii="Georgia" w:cs="Georgia" w:eastAsia="Georgia" w:hAnsi="Georgia"/>
                <w:color w:val="1C2B3A"/>
                <w:sz w:val="56"/>
                <w:szCs w:val="56"/>
              </w:rPr>
              <w:t xml:space="preserve">DM Serif Display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D4921A"/>
                <w:sz w:val="17"/>
                <w:szCs w:val="17"/>
              </w:rPr>
              <w:t xml:space="preserve">DISPLAY — H1, H2, H3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Use for hero text, section titles, pull quotes, and all display headings.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Weight: 400 Regular only (display face — no bold variant)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fonts.google.com/specimen/DM+Serif+Display</w:t>
            </w:r>
          </w:p>
        </w:tc>
        <w:tc>
          <w:tcPr>
            <w:tcW w:type="dxa" w:w="5080"/>
            <w:tcBorders>
              <w:top w:val="single" w:color="E8B830" w:sz="1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240"/>
              <w:bottom w:type="dxa" w:w="240"/>
              <w:right w:type="dxa" w:w="200"/>
            </w:tcMar>
            <w:vAlign w:val="top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1C2B3A"/>
                <w:sz w:val="56"/>
                <w:szCs w:val="56"/>
              </w:rPr>
              <w:t xml:space="preserve">DM Sans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E8B830"/>
                <w:sz w:val="17"/>
                <w:szCs w:val="17"/>
              </w:rPr>
              <w:t xml:space="preserve">SANS-SERIF — BODY &amp; UI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Use for body copy, H4–H6, buttons, navigation, labels, captions, form inputs.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Weights: 300 Light, 400 Regular, 500 Medium, 700 Bold</w:t>
            </w:r>
          </w:p>
          <w:p>
            <w:r>
              <w:rPr>
                <w:rFonts w:ascii="Arial" w:cs="Arial" w:eastAsia="Arial" w:hAnsi="Arial"/>
                <w:color w:val="6D7E96"/>
                <w:sz w:val="18"/>
                <w:szCs w:val="18"/>
              </w:rPr>
              <w:t xml:space="preserve">fonts.google.com/specimen/DM+Sans</w:t>
            </w:r>
          </w:p>
        </w:tc>
      </w:tr>
    </w:tbl>
    <w:p>
      <w:pP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Type Scale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60"/>
        <w:gridCol w:w="7120"/>
      </w:tblGrid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Role / Size / Font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Sample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H1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DM Serif Display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50px · weight 400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Georgia" w:cs="Georgia" w:eastAsia="Georgia" w:hAnsi="Georgia"/>
                <w:color w:val="1C2B3A"/>
                <w:sz w:val="64"/>
                <w:szCs w:val="64"/>
              </w:rPr>
              <w:t xml:space="preserve">Bringing Out the Best in Each of Us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H2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DM Serif Display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38px · weight 400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Georgia" w:cs="Georgia" w:eastAsia="Georgia" w:hAnsi="Georgia"/>
                <w:color w:val="1C2B3A"/>
                <w:sz w:val="48"/>
                <w:szCs w:val="48"/>
              </w:rPr>
              <w:t xml:space="preserve">Leadership Development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H3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DM Serif Display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27px · weight 400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Georgia" w:cs="Georgia" w:eastAsia="Georgia" w:hAnsi="Georgia"/>
                <w:color w:val="1C2B3A"/>
                <w:sz w:val="34"/>
                <w:szCs w:val="34"/>
              </w:rPr>
              <w:t xml:space="preserve">Executive Coaching Services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H4 — UI Heading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DM Sans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20px · weight 700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6"/>
                <w:szCs w:val="26"/>
              </w:rPr>
              <w:t xml:space="preserve">Upcoming Events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Body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DM Sans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16px · weight 400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4A5568"/>
                <w:sz w:val="22"/>
                <w:szCs w:val="22"/>
              </w:rPr>
              <w:t xml:space="preserve">We work with organisations and individuals across Asia Pacific to build resilience, strengthen leadership and foster human excellence.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Label / Eyebrow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DM Sans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11px · weight 700 · uppercase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D4921A"/>
                <w:sz w:val="17"/>
                <w:szCs w:val="17"/>
              </w:rPr>
              <w:t xml:space="preserve">LEADERSHIP &amp; HUMAN DEVELOPMENT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Button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DM Sans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13.5px · weight 700 · uppercase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D4921A"/>
                <w:sz w:val="19"/>
                <w:szCs w:val="19"/>
              </w:rPr>
              <w:t xml:space="preserve">BOOK A DISCOVERY CALL</w:t>
            </w:r>
          </w:p>
        </w:tc>
      </w:tr>
      <w:tr>
        <w:tc>
          <w:tcPr>
            <w:tcW w:type="dxa" w:w="296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Quote / Italic Body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Georgia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6D7E96"/>
                <w:sz w:val="17"/>
                <w:szCs w:val="17"/>
              </w:rPr>
              <w:t xml:space="preserve">22px · italic</w:t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rPr>
                <w:rFonts w:ascii="Georgia" w:cs="Georgia" w:eastAsia="Georgia" w:hAnsi="Georgia"/>
                <w:i/>
                <w:iCs/>
                <w:color w:val="4A5568"/>
                <w:sz w:val="28"/>
                <w:szCs w:val="28"/>
              </w:rPr>
              <w:t xml:space="preserve">“Bringing out the best in each of us.”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C2B3A"/>
          <w:sz w:val="40"/>
          <w:szCs w:val="40"/>
        </w:rPr>
        <w:t xml:space="preserve">Voice &amp; Tone</w:t>
      </w:r>
    </w:p>
    <w:p>
      <w:pPr>
        <w:pBdr>
          <w:bottom w:val="single" w:color="D4921A" w:sz="10" w:space="4"/>
        </w:pBdr>
        <w:spacing w:after="280" w:before="0"/>
      </w:pPr>
    </w:p>
    <w:p>
      <w:pPr>
        <w:spacing w:after="160"/>
      </w:pPr>
      <w:r>
        <w:rPr>
          <w:rFonts w:ascii="Arial" w:cs="Arial" w:eastAsia="Arial" w:hAnsi="Arial"/>
          <w:color w:val="4A5568"/>
          <w:sz w:val="21"/>
          <w:szCs w:val="21"/>
        </w:rPr>
        <w:t xml:space="preserve">BHD Asia speaks with warmth, authority and genuine care. The brand voice is grounded, human and never corporate-cold. It respects the intelligence of its audience while remaining accessible and direct.</w:t>
      </w:r>
    </w:p>
    <w:p>
      <w:pPr>
        <w:spacing w:after="16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Brand Personality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4"/>
                <w:szCs w:val="24"/>
              </w:rPr>
              <w:t xml:space="preserve">Warm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4"/>
                <w:szCs w:val="24"/>
              </w:rPr>
              <w:t xml:space="preserve">Expert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4"/>
                <w:szCs w:val="24"/>
              </w:rPr>
              <w:t xml:space="preserve">Direct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4"/>
                <w:szCs w:val="24"/>
              </w:rPr>
              <w:t xml:space="preserve">Inclusive</w:t>
            </w:r>
          </w:p>
        </w:tc>
        <w:tc>
          <w:tcPr>
            <w:tcW w:type="dxa" w:w="2016"/>
            <w:tcBorders>
              <w:top w:val="single" w:color="D4921A" w:sz="14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160"/>
              <w:left w:type="dxa" w:w="16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4"/>
                <w:szCs w:val="24"/>
              </w:rPr>
              <w:t xml:space="preserve">Hopeful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Caring, empathetic — people feel seen when reading our content.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Evidence-based, credentialed. Clear on what we know and why it works.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No jargon for jargon’s sake. Plain language that respects your time.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All cultures, all levels, all learning styles.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4" w:val="clear"/>
            <w:tcMar>
              <w:top w:type="dxa" w:w="80"/>
              <w:left w:type="dxa" w:w="160"/>
              <w:bottom w:type="dxa" w:w="2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We believe in human potential. Optimistic without being naive.</w:t>
            </w:r>
          </w:p>
        </w:tc>
      </w:tr>
    </w:tbl>
    <w:p>
      <w:pP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Voice Do’s &amp; Don’ts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80"/>
      </w:tblGrid>
      <w:t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5E9" w:val="clear"/>
            <w:tcMar>
              <w:top w:type="dxa" w:w="120"/>
              <w:left w:type="dxa" w:w="200"/>
              <w:bottom w:type="dxa" w:w="12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2E7D32"/>
                <w:sz w:val="22"/>
                <w:szCs w:val="22"/>
              </w:rPr>
              <w:t xml:space="preserve">✔  Do</w:t>
            </w:r>
          </w:p>
        </w:tc>
        <w:tc>
          <w:tcPr>
            <w:tcW w:type="dxa" w:w="5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EBEE" w:val="clear"/>
            <w:tcMar>
              <w:top w:type="dxa" w:w="120"/>
              <w:left w:type="dxa" w:w="200"/>
              <w:bottom w:type="dxa" w:w="12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C62828"/>
                <w:sz w:val="22"/>
                <w:szCs w:val="22"/>
              </w:rPr>
              <w:t xml:space="preserve">✖  Don’t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C8E6C9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Write like a trusted advisor — warm, direct, grounded.</w:t>
            </w:r>
          </w:p>
        </w:tc>
        <w:tc>
          <w:tcPr>
            <w:tcW w:type="dxa" w:w="5080"/>
            <w:tcBorders>
              <w:top w:val="none" w:color="FFFFFF" w:sz="0"/>
              <w:left w:val="none" w:color="FFFFFF" w:sz="0"/>
              <w:bottom w:val="single" w:color="FFCDD2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Write like a corporate brochure — stiff or full of buzzwords.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C8E6C9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Use active voice: “We help leaders build resilience.”</w:t>
            </w:r>
          </w:p>
        </w:tc>
        <w:tc>
          <w:tcPr>
            <w:tcW w:type="dxa" w:w="5080"/>
            <w:tcBorders>
              <w:top w:val="none" w:color="FFFFFF" w:sz="0"/>
              <w:left w:val="none" w:color="FFFFFF" w:sz="0"/>
              <w:bottom w:val="single" w:color="FFCDD2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Use passive voice: “Resilience is being built by our programmes.”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C8E6C9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Acknowledge difficulty: “These conversations are hard. We know.”</w:t>
            </w:r>
          </w:p>
        </w:tc>
        <w:tc>
          <w:tcPr>
            <w:tcW w:type="dxa" w:w="5080"/>
            <w:tcBorders>
              <w:top w:val="none" w:color="FFFFFF" w:sz="0"/>
              <w:left w:val="none" w:color="FFFFFF" w:sz="0"/>
              <w:bottom w:val="single" w:color="FFCDD2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Minimise struggle: “Just try our 3-step framework!”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C8E6C9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Cite evidence — explain why the science matters.</w:t>
            </w:r>
          </w:p>
        </w:tc>
        <w:tc>
          <w:tcPr>
            <w:tcW w:type="dxa" w:w="5080"/>
            <w:tcBorders>
              <w:top w:val="none" w:color="FFFFFF" w:sz="0"/>
              <w:left w:val="none" w:color="FFFFFF" w:sz="0"/>
              <w:bottom w:val="single" w:color="FFCDD2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Drop credentials without context.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C8E6C9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Speak to the whole person, not just the employee.</w:t>
            </w:r>
          </w:p>
        </w:tc>
        <w:tc>
          <w:tcPr>
            <w:tcW w:type="dxa" w:w="5080"/>
            <w:tcBorders>
              <w:top w:val="none" w:color="FFFFFF" w:sz="0"/>
              <w:left w:val="none" w:color="FFFFFF" w:sz="0"/>
              <w:bottom w:val="single" w:color="FFCDD2" w:sz="1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Lead with productivity or ROI before acknowledging the human.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C2B3A"/>
          <w:sz w:val="40"/>
          <w:szCs w:val="40"/>
        </w:rPr>
        <w:t xml:space="preserve">Logo Guidelines</w:t>
      </w:r>
    </w:p>
    <w:p>
      <w:pPr>
        <w:pBdr>
          <w:bottom w:val="single" w:color="D4921A" w:sz="10" w:space="4"/>
        </w:pBdr>
        <w:spacing w:after="280" w:before="0"/>
      </w:pPr>
    </w:p>
    <w:p>
      <w:pPr>
        <w:spacing w:after="160"/>
      </w:pPr>
      <w:r>
        <w:rPr>
          <w:rFonts w:ascii="Arial" w:cs="Arial" w:eastAsia="Arial" w:hAnsi="Arial"/>
          <w:color w:val="4A5568"/>
          <w:sz w:val="21"/>
          <w:szCs w:val="21"/>
        </w:rPr>
        <w:t xml:space="preserve">The BHD Asia logo combines a stylised B–H–D letterform mark with the wordmark “BHD Asia”. The mark uses Amber Gold and Navy together and is designed to read clearly at both large and small sizes.</w:t>
      </w:r>
    </w:p>
    <w:p>
      <w:pPr>
        <w:spacing w:after="16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Clear Space &amp; Minimum Size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Clear Space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Minimum of one “B” cap-height on all four sides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Digital Minimum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120px wide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Print Minimum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30mm wide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Preferred Backgrounds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White (#FFFFFF) or Off-White (#FAF7F4)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Reversed Version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White logo on Navy (#0B2238) only</w:t>
            </w:r>
          </w:p>
        </w:tc>
      </w:tr>
    </w:tbl>
    <w:p>
      <w:pPr>
        <w:spacing w:after="24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Logo Usage Rules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80"/>
      </w:tblGrid>
      <w:tr>
        <w:tc>
          <w:tcPr>
            <w:tcW w:type="dxa" w:w="5000"/>
            <w:tcBorders>
              <w:top w:val="single" w:color="2E7D32" w:sz="1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200"/>
              <w:bottom w:type="dxa" w:w="2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2E7D32"/>
                <w:sz w:val="21"/>
                <w:szCs w:val="21"/>
              </w:rPr>
              <w:t xml:space="preserve">✔  Approved uses</w:t>
            </w:r>
          </w:p>
          <w:p>
            <w:pPr>
              <w:spacing w:after="60" w:before="0"/>
            </w:pP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Full color on white or off-white backgrounds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Reversed (white) on Navy (#0B2238) backgrounds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Single-color (monochrome) on print materials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Scale proportionally — never stretch independently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Maintain clear space on all sides</w:t>
            </w:r>
          </w:p>
        </w:tc>
        <w:tc>
          <w:tcPr>
            <w:tcW w:type="dxa" w:w="5080"/>
            <w:tcBorders>
              <w:top w:val="single" w:color="C62828" w:sz="1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200"/>
              <w:bottom w:type="dxa" w:w="2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C62828"/>
                <w:sz w:val="21"/>
                <w:szCs w:val="21"/>
              </w:rPr>
              <w:t xml:space="preserve">✖  Never do this</w:t>
            </w:r>
          </w:p>
          <w:p>
            <w:pPr>
              <w:spacing w:after="60" w:before="0"/>
            </w:pP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Stretch, distort or rotate the logo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Change logo colors outside the approved palette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Place on busy photography without a dark overlay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Add drop shadows, outlines or effects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Separate the mark from the wordmark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color w:val="4A5568"/>
                <w:sz w:val="20"/>
                <w:szCs w:val="20"/>
              </w:rPr>
              <w:t xml:space="preserve">Use below minimum size</w:t>
            </w:r>
          </w:p>
        </w:tc>
      </w:tr>
    </w:tbl>
    <w:p>
      <w:pP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Photography &amp; Imagery Style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Authentic over staged — real people, real expressions, genuine connection.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Warm, natural lighting — soft shadows and golden tones that echo the brand palette.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Diverse representation — all ethnicities, ages, genders, roles and seniority levels.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In-context settings — boardrooms, workshops, outdoor spaces, quiet reflection moments.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Avoid stock photo clichés — no forced handshakes, generic whiteboards or hollow smiles.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4A5568"/>
          <w:sz w:val="20"/>
          <w:szCs w:val="20"/>
        </w:rPr>
        <w:t xml:space="preserve">When overlaying text on photography, use a Navy gradient overlay at 75–90% opacity.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C2B3A"/>
          <w:sz w:val="40"/>
          <w:szCs w:val="40"/>
        </w:rPr>
        <w:t xml:space="preserve">Digital Guidelines</w:t>
      </w:r>
    </w:p>
    <w:p>
      <w:pPr>
        <w:pBdr>
          <w:bottom w:val="single" w:color="D4921A" w:sz="10" w:space="4"/>
        </w:pBd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Website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Live URL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https://technextsg.github.io/BHDasia/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Max Content Width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1100px centered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Side Padding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64px desktop · 20px mobile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Primary Button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Amber Gold fill, white text, 50px border-radius, uppercase 700 weight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Outline Button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Transparent background, Amber Gold border and text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Active Link Color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Amber Gold (#D4921A) — no underline by default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Body Line-Height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1.85 for all readable text blocks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Desktop Breakpoint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981px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Tablet Breakpoint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768px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19"/>
                <w:szCs w:val="19"/>
              </w:rPr>
              <w:t xml:space="preserve">Mobile Breakpoint</w:t>
            </w:r>
          </w:p>
        </w:tc>
        <w:tc>
          <w:tcPr>
            <w:tcW w:type="dxa" w:w="7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600px</w:t>
            </w:r>
          </w:p>
        </w:tc>
      </w:tr>
    </w:tbl>
    <w:p>
      <w:pP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Social Media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800"/>
        <w:gridCol w:w="4280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Platform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Handle / URL</w:t>
            </w:r>
          </w:p>
        </w:tc>
        <w:tc>
          <w:tcPr>
            <w:tcW w:type="dxa" w:w="4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Content Focus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LinkedIn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D4921A"/>
                <w:sz w:val="20"/>
                <w:szCs w:val="20"/>
              </w:rPr>
              <w:t xml:space="preserve">linkedin.com/company/bhdasia</w:t>
            </w:r>
          </w:p>
        </w:tc>
        <w:tc>
          <w:tcPr>
            <w:tcW w:type="dxa" w:w="4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Thought leadership, articles, team updates, Forbes content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Instagram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D4921A"/>
                <w:sz w:val="20"/>
                <w:szCs w:val="20"/>
              </w:rPr>
              <w:t xml:space="preserve">@bhdasia</w:t>
            </w:r>
          </w:p>
        </w:tc>
        <w:tc>
          <w:tcPr>
            <w:tcW w:type="dxa" w:w="4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Behind-the-scenes, workshop moments, human stories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Facebook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D4921A"/>
                <w:sz w:val="20"/>
                <w:szCs w:val="20"/>
              </w:rPr>
              <w:t xml:space="preserve">facebook.com/bhdasia</w:t>
            </w:r>
          </w:p>
        </w:tc>
        <w:tc>
          <w:tcPr>
            <w:tcW w:type="dxa" w:w="4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Events, announcements, community engagement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YouTube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D4921A"/>
                <w:sz w:val="20"/>
                <w:szCs w:val="20"/>
              </w:rPr>
              <w:t xml:space="preserve">youtube.com/@bhdasia</w:t>
            </w:r>
          </w:p>
        </w:tc>
        <w:tc>
          <w:tcPr>
            <w:tcW w:type="dxa" w:w="4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Interview series, TRE demos, event highlights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TikTok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D4921A"/>
                <w:sz w:val="20"/>
                <w:szCs w:val="20"/>
              </w:rPr>
              <w:t xml:space="preserve">@bhdasia</w:t>
            </w:r>
          </w:p>
        </w:tc>
        <w:tc>
          <w:tcPr>
            <w:tcW w:type="dxa" w:w="428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Short-form educational content, leadership tips</w:t>
            </w:r>
          </w:p>
        </w:tc>
      </w:tr>
    </w:tbl>
    <w:p>
      <w:pPr>
        <w:spacing w:after="280" w:before="0"/>
      </w:pPr>
    </w:p>
    <w:p>
      <w:pPr>
        <w:pStyle w:val="Heading2"/>
      </w:pPr>
      <w:r>
        <w:rPr>
          <w:rFonts w:ascii="Arial" w:cs="Arial" w:eastAsia="Arial" w:hAnsi="Arial"/>
          <w:b/>
          <w:bCs/>
          <w:color w:val="D4921A"/>
          <w:sz w:val="28"/>
          <w:szCs w:val="28"/>
        </w:rPr>
        <w:t xml:space="preserve">Button Styles Reference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640"/>
        <w:gridCol w:w="264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Button Type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Background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Text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EBEBEB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6D7E96"/>
                <w:sz w:val="17"/>
                <w:szCs w:val="17"/>
              </w:rPr>
              <w:t xml:space="preserve">Border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Primary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Amber Gold #D4921A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White #FFFFFF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2px solid Amber Gold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Outline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Transparent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Amber Gold #D4921A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2px solid Amber Gold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White (on dark)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White #FFFFFF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Navy #0B2238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AF7F4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2px solid White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C2B3A"/>
                <w:sz w:val="20"/>
                <w:szCs w:val="20"/>
              </w:rPr>
              <w:t xml:space="preserve">Ghost (on dark)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Transparent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White #FFFFFF</w:t>
            </w:r>
          </w:p>
        </w:tc>
        <w:tc>
          <w:tcPr>
            <w:tcW w:type="dxa" w:w="2640"/>
            <w:tcBorders>
              <w:top w:val="none" w:color="FFFFFF" w:sz="0"/>
              <w:left w:val="none" w:color="FFFFFF" w:sz="0"/>
              <w:bottom w:val="single" w:color="E5DDD5" w:sz="1"/>
              <w:right w:val="none" w:color="FFFFFF" w:sz="0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4A5568"/>
                <w:sz w:val="19"/>
                <w:szCs w:val="19"/>
              </w:rPr>
              <w:t xml:space="preserve">2px solid rgba(white 55%)</w:t>
            </w:r>
          </w:p>
        </w:tc>
      </w:tr>
    </w:tbl>
    <w:p>
      <w:pPr>
        <w:spacing w:after="600" w:before="0"/>
      </w:pPr>
    </w:p>
    <w:p>
      <w:pPr>
        <w:spacing w:after="60"/>
        <w:jc w:val="center"/>
      </w:pPr>
      <w:r>
        <w:rPr>
          <w:rFonts w:ascii="Arial" w:cs="Arial" w:eastAsia="Arial" w:hAnsi="Arial"/>
          <w:color w:val="6D7E96"/>
          <w:sz w:val="18"/>
          <w:szCs w:val="18"/>
        </w:rPr>
        <w:t xml:space="preserve">BHD Asia  ·  Brand Guidelines  ·  Version 1.0  ·  June 2026</w:t>
      </w:r>
    </w:p>
    <w:p>
      <w:pPr>
        <w:spacing w:after="60"/>
        <w:jc w:val="center"/>
      </w:pPr>
      <w:r>
        <w:rPr>
          <w:rFonts w:ascii="Arial" w:cs="Arial" w:eastAsia="Arial" w:hAnsi="Arial"/>
          <w:color w:val="6D7E96"/>
          <w:sz w:val="18"/>
          <w:szCs w:val="18"/>
        </w:rPr>
        <w:t xml:space="preserve">Business &amp; Human Development Consulting Pte Ltd</w:t>
      </w:r>
    </w:p>
    <w:p>
      <w:pPr>
        <w:jc w:val="center"/>
      </w:pPr>
      <w:r>
        <w:rPr>
          <w:rFonts w:ascii="Georgia" w:cs="Georgia" w:eastAsia="Georgia" w:hAnsi="Georgia"/>
          <w:i/>
          <w:iCs/>
          <w:color w:val="D4921A"/>
          <w:sz w:val="20"/>
          <w:szCs w:val="20"/>
        </w:rPr>
        <w:t xml:space="preserve">“Bringing Out the Best in Each of Us”</w:t>
      </w:r>
    </w:p>
    <w:sectPr>
      <w:footerReference w:type="default" r:id="rId7"/>
      <w:pgSz w:w="12240" w:h="15840" w:orient="portrait"/>
      <w:pgMar w:top="1080" w:right="1080" w:bottom="12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D7E96"/>
        <w:sz w:val="17"/>
        <w:szCs w:val="17"/>
      </w:rPr>
      <w:t xml:space="preserve">BHD Asia  ·  Brand Guidelines  ·  </w:t>
    </w:r>
    <w:r>
      <w:rPr>
        <w:rFonts w:ascii="Arial" w:cs="Arial" w:eastAsia="Arial" w:hAnsi="Arial"/>
        <w:color w:val="6D7E9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80"/>
      </w:pPr>
      <w:rPr>
        <w:color w:val="D4921A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A556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400"/>
      <w:outlineLvl w:val="0"/>
    </w:pPr>
    <w:rPr>
      <w:rFonts w:ascii="Arial" w:cs="Arial" w:eastAsia="Arial" w:hAnsi="Arial"/>
      <w:b/>
      <w:bCs/>
      <w:color w:val="1C2B3A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Arial" w:cs="Arial" w:eastAsia="Arial" w:hAnsi="Arial"/>
      <w:b/>
      <w:bCs/>
      <w:color w:val="D4921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Arial" w:cs="Arial" w:eastAsia="Arial" w:hAnsi="Arial"/>
      <w:b/>
      <w:bCs/>
      <w:color w:val="1C2B3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2026-06-17T08:28:31.097Z</dcterms:created>
  <dcterms:modified xsi:type="dcterms:W3CDTF">2026-06-17T08:28:31.097Z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